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ind w:firstLine="57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sz w:val="28"/>
          <w:szCs w:val="28"/>
        </w:rPr>
        <w:t>竞赛信息发布会回执</w:t>
      </w:r>
    </w:p>
    <w:tbl>
      <w:tblPr>
        <w:tblStyle w:val="3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83"/>
        <w:gridCol w:w="1984"/>
        <w:gridCol w:w="2268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" w:leftChars="-50" w:hanging="104" w:hangingChars="3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2" w:leftChars="-50" w:hanging="103" w:hangingChars="3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参加赛项（请勾选）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化工总控工职工组□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工业废水处理工职工组□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工业废水处理工学生组□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化工总控工职工组□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工业废水处理工职工组□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工业废水处理工学生组□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化工总控工职工组□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工业废水处理工职工组□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</w:rPr>
              <w:t>工业废水处理工学生组□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请于7月5日前将回执电邮至化工鉴定指导中心hgjd1309@126.com。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E2387"/>
    <w:rsid w:val="42E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2019-06-19T00:23:00Z</dcterms:created>
  <dc:creator>伊甸园的晨光</dc:creator>
  <cp:lastModifiedBy>伊甸园的晨光</cp:lastModifiedBy>
  <dcterms:modified xsi:type="dcterms:W3CDTF">2019-06-19T00:24:19Z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