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化工安全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管理人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员培训班回执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Style w:val="5"/>
          <w:rFonts w:hint="eastAsia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Style w:val="5"/>
          <w:rFonts w:hint="eastAsia" w:eastAsia="仿宋_GB2312"/>
          <w:b/>
          <w:bCs/>
          <w:sz w:val="28"/>
          <w:szCs w:val="28"/>
          <w:lang w:val="en-US" w:eastAsia="zh-CN"/>
        </w:rPr>
        <w:t>单位：</w:t>
      </w:r>
    </w:p>
    <w:tbl>
      <w:tblPr>
        <w:tblStyle w:val="4"/>
        <w:tblpPr w:leftFromText="180" w:rightFromText="180" w:vertAnchor="text" w:horzAnchor="page" w:tblpXSpec="center" w:tblpY="357"/>
        <w:tblOverlap w:val="never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24"/>
        <w:gridCol w:w="888"/>
        <w:gridCol w:w="1095"/>
        <w:gridCol w:w="213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Style w:val="5"/>
                <w:rFonts w:eastAsia="仿宋_GB2312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</w:rPr>
            </w:pP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5"/>
                <w:rFonts w:eastAsia="仿宋_GB2312"/>
                <w:sz w:val="22"/>
              </w:rPr>
            </w:pPr>
          </w:p>
        </w:tc>
      </w:tr>
    </w:tbl>
    <w:p>
      <w:pPr>
        <w:spacing w:line="480" w:lineRule="exact"/>
        <w:rPr>
          <w:rStyle w:val="5"/>
          <w:rFonts w:eastAsia="仿宋_GB2312"/>
          <w:sz w:val="28"/>
          <w:szCs w:val="28"/>
        </w:rPr>
      </w:pPr>
    </w:p>
    <w:p>
      <w:pPr>
        <w:spacing w:line="480" w:lineRule="exact"/>
        <w:rPr>
          <w:rStyle w:val="3"/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</w:pPr>
      <w:r>
        <w:rPr>
          <w:rStyle w:val="5"/>
          <w:rFonts w:eastAsia="仿宋_GB2312"/>
          <w:sz w:val="28"/>
          <w:szCs w:val="28"/>
        </w:rPr>
        <w:t>注：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</w:rPr>
        <w:t>1.请参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训学员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2018年8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10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日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</w:rPr>
        <w:t>前将回执电邮至化工鉴定指导中心（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电子邮箱：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"mailto:hgjd1309@126.com"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3"/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hgjd1309@126.com</w:t>
      </w:r>
      <w:r>
        <w:rPr>
          <w:rFonts w:hint="default" w:ascii="Times New Roman" w:hAnsi="Times New Roman" w:eastAsia="仿宋_GB2312" w:cs="Times New Roman"/>
        </w:rPr>
        <w:fldChar w:fldCharType="end"/>
      </w:r>
      <w:r>
        <w:rPr>
          <w:rStyle w:val="3"/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）；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Style w:val="5"/>
          <w:rFonts w:hint="default" w:ascii="Times New Roman" w:hAnsi="Times New Roman" w:eastAsia="仿宋_GB2312" w:cs="Times New Roman"/>
          <w:color w:val="FF0000"/>
          <w:sz w:val="28"/>
          <w:szCs w:val="28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</w:t>
      </w:r>
      <w:r>
        <w:rPr>
          <w:rStyle w:val="5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住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宿费260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</w:rPr>
        <w:t>元/</w:t>
      </w:r>
      <w:r>
        <w:rPr>
          <w:rStyle w:val="5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人·天。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97C43"/>
    <w:rsid w:val="1F197C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5">
    <w:name w:val="b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2018-06-20T06:13:00Z</dcterms:created>
  <dc:creator>伊甸园的晨光</dc:creator>
  <cp:lastModifiedBy>伊甸园的晨光</cp:lastModifiedBy>
  <dcterms:modified xsi:type="dcterms:W3CDTF">2018-06-20T06:13:35Z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